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43107" w:rsidR="00443107" w:rsidP="3F34A281" w:rsidRDefault="00443107" w14:paraId="61237521" w14:textId="3706DB94">
      <w:pPr>
        <w:jc w:val="center"/>
        <w:rPr>
          <w:rFonts w:cs="Calibri" w:cstheme="minorAscii"/>
          <w:b w:val="1"/>
          <w:bCs w:val="1"/>
        </w:rPr>
      </w:pPr>
      <w:r w:rsidRPr="3F34A281" w:rsidR="00443107">
        <w:rPr>
          <w:rFonts w:cs="Calibri" w:cstheme="minorAscii"/>
          <w:b w:val="1"/>
          <w:bCs w:val="1"/>
        </w:rPr>
        <w:t>IU School of Education at IUPUI</w:t>
      </w:r>
    </w:p>
    <w:p w:rsidRPr="00443107" w:rsidR="00A23516" w:rsidP="3F34A281" w:rsidRDefault="008B09A9" w14:paraId="28515B97" w14:textId="49DA96F3">
      <w:pPr>
        <w:jc w:val="center"/>
        <w:rPr>
          <w:rFonts w:cs="Calibri" w:cstheme="minorAscii"/>
          <w:b w:val="1"/>
          <w:bCs w:val="1"/>
        </w:rPr>
      </w:pPr>
      <w:r w:rsidRPr="57A5D856" w:rsidR="008B09A9">
        <w:rPr>
          <w:rFonts w:cs="Calibri" w:cstheme="minorAscii"/>
          <w:b w:val="1"/>
          <w:bCs w:val="1"/>
        </w:rPr>
        <w:t>Policy 22.04: A</w:t>
      </w:r>
      <w:r w:rsidRPr="57A5D856" w:rsidR="004E12E8">
        <w:rPr>
          <w:rFonts w:cs="Calibri" w:cstheme="minorAscii"/>
          <w:b w:val="1"/>
          <w:bCs w:val="1"/>
        </w:rPr>
        <w:t>ppointment of</w:t>
      </w:r>
      <w:r w:rsidRPr="57A5D856" w:rsidR="00A23516">
        <w:rPr>
          <w:rFonts w:cs="Calibri" w:cstheme="minorAscii"/>
          <w:b w:val="1"/>
          <w:bCs w:val="1"/>
        </w:rPr>
        <w:t xml:space="preserve"> Promotion and Tenure</w:t>
      </w:r>
      <w:r w:rsidRPr="57A5D856" w:rsidR="00A90A61">
        <w:rPr>
          <w:rFonts w:cs="Calibri" w:cstheme="minorAscii"/>
          <w:b w:val="1"/>
          <w:bCs w:val="1"/>
        </w:rPr>
        <w:t>/Long-term Contract</w:t>
      </w:r>
      <w:r w:rsidRPr="57A5D856" w:rsidR="00A23516">
        <w:rPr>
          <w:rFonts w:cs="Calibri" w:cstheme="minorAscii"/>
          <w:b w:val="1"/>
          <w:bCs w:val="1"/>
        </w:rPr>
        <w:t xml:space="preserve"> Committees</w:t>
      </w:r>
    </w:p>
    <w:p w:rsidR="6D13AA8C" w:rsidP="3F34A281" w:rsidRDefault="6D13AA8C" w14:paraId="56E57950" w14:textId="6F5B2004">
      <w:pPr>
        <w:pStyle w:val="Normal"/>
        <w:rPr>
          <w:rFonts w:cs="Calibri" w:cstheme="minorAscii"/>
          <w:sz w:val="24"/>
          <w:szCs w:val="24"/>
        </w:rPr>
      </w:pPr>
    </w:p>
    <w:p w:rsidR="00A23516" w:rsidP="6D13AA8C" w:rsidRDefault="00A23516" w14:paraId="7463B90F" w14:textId="73F87280">
      <w:pPr>
        <w:rPr>
          <w:rFonts w:cs="Calibri" w:cstheme="minorAscii"/>
        </w:rPr>
      </w:pPr>
      <w:r w:rsidRPr="3F34A281" w:rsidR="00A23516">
        <w:rPr>
          <w:rFonts w:cs="Calibri" w:cstheme="minorAscii"/>
        </w:rPr>
        <w:t>To ensure that we comply with</w:t>
      </w:r>
      <w:r w:rsidRPr="3F34A281" w:rsidR="00A23516">
        <w:rPr>
          <w:rFonts w:cs="Calibri" w:cstheme="minorAscii"/>
        </w:rPr>
        <w:t xml:space="preserve"> university</w:t>
      </w:r>
      <w:r w:rsidRPr="3F34A281" w:rsidR="00A23516">
        <w:rPr>
          <w:rFonts w:cs="Calibri" w:cstheme="minorAscii"/>
        </w:rPr>
        <w:t xml:space="preserve"> requirements, the </w:t>
      </w:r>
      <w:r w:rsidRPr="3F34A281" w:rsidR="00A23516">
        <w:rPr>
          <w:rFonts w:cs="Calibri" w:cstheme="minorAscii"/>
        </w:rPr>
        <w:t>School of Education</w:t>
      </w:r>
      <w:r w:rsidRPr="3F34A281" w:rsidR="00A23516">
        <w:rPr>
          <w:rFonts w:cs="Calibri" w:cstheme="minorAscii"/>
        </w:rPr>
        <w:t xml:space="preserve"> will use the following procedure to </w:t>
      </w:r>
      <w:r w:rsidRPr="3F34A281" w:rsidR="00A23516">
        <w:rPr>
          <w:rFonts w:cs="Calibri" w:cstheme="minorAscii"/>
        </w:rPr>
        <w:t xml:space="preserve">appoint </w:t>
      </w:r>
      <w:r w:rsidRPr="3F34A281" w:rsidR="00A23516">
        <w:rPr>
          <w:rFonts w:cs="Calibri" w:cstheme="minorAscii"/>
        </w:rPr>
        <w:t xml:space="preserve">members </w:t>
      </w:r>
      <w:r w:rsidRPr="3F34A281" w:rsidR="00A23516">
        <w:rPr>
          <w:rFonts w:cs="Calibri" w:cstheme="minorAscii"/>
        </w:rPr>
        <w:t>to</w:t>
      </w:r>
      <w:r w:rsidRPr="3F34A281" w:rsidR="00A23516">
        <w:rPr>
          <w:rFonts w:cs="Calibri" w:cstheme="minorAscii"/>
        </w:rPr>
        <w:t xml:space="preserve"> committees </w:t>
      </w:r>
      <w:r w:rsidRPr="3F34A281" w:rsidR="00A23516">
        <w:rPr>
          <w:rFonts w:cs="Calibri" w:cstheme="minorAscii"/>
        </w:rPr>
        <w:t xml:space="preserve">conducting </w:t>
      </w:r>
      <w:r w:rsidRPr="3F34A281" w:rsidR="00A23516">
        <w:rPr>
          <w:rFonts w:cs="Calibri" w:cstheme="minorAscii"/>
        </w:rPr>
        <w:t>reviews for pre-promotion,</w:t>
      </w:r>
      <w:r w:rsidRPr="3F34A281" w:rsidR="00A23516">
        <w:rPr>
          <w:rFonts w:cs="Calibri" w:cstheme="minorAscii"/>
        </w:rPr>
        <w:t xml:space="preserve"> promotion, or</w:t>
      </w:r>
      <w:r w:rsidRPr="3F34A281" w:rsidR="00A23516">
        <w:rPr>
          <w:rFonts w:cs="Calibri" w:cstheme="minorAscii"/>
        </w:rPr>
        <w:t xml:space="preserve"> promotion </w:t>
      </w:r>
      <w:r w:rsidRPr="3F34A281" w:rsidR="00A23516">
        <w:rPr>
          <w:rFonts w:cs="Calibri" w:cstheme="minorAscii"/>
        </w:rPr>
        <w:t xml:space="preserve">&amp; </w:t>
      </w:r>
      <w:r w:rsidRPr="3F34A281" w:rsidR="00A23516">
        <w:rPr>
          <w:rFonts w:cs="Calibri" w:cstheme="minorAscii"/>
        </w:rPr>
        <w:t xml:space="preserve">tenure/long-term contract, referred to as </w:t>
      </w:r>
      <w:r w:rsidRPr="3F34A281" w:rsidR="00A23516">
        <w:rPr>
          <w:rFonts w:cs="Calibri" w:cstheme="minorAscii"/>
          <w:i w:val="1"/>
          <w:iCs w:val="1"/>
        </w:rPr>
        <w:t>review committee</w:t>
      </w:r>
      <w:r w:rsidRPr="3F34A281" w:rsidR="00A23516">
        <w:rPr>
          <w:rFonts w:cs="Calibri" w:cstheme="minorAscii"/>
          <w:i w:val="1"/>
          <w:iCs w:val="1"/>
        </w:rPr>
        <w:t>(s)</w:t>
      </w:r>
      <w:r w:rsidRPr="3F34A281" w:rsidR="00A23516">
        <w:rPr>
          <w:rFonts w:cs="Calibri" w:cstheme="minorAscii"/>
          <w:i w:val="1"/>
          <w:iCs w:val="1"/>
        </w:rPr>
        <w:t xml:space="preserve"> </w:t>
      </w:r>
      <w:r w:rsidRPr="3F34A281" w:rsidR="00A23516">
        <w:rPr>
          <w:rFonts w:cs="Calibri" w:cstheme="minorAscii"/>
        </w:rPr>
        <w:t>hereafter.</w:t>
      </w:r>
    </w:p>
    <w:p w:rsidR="3F34A281" w:rsidP="3F34A281" w:rsidRDefault="3F34A281" w14:paraId="3E8DA64A" w14:textId="68E00CF2">
      <w:pPr>
        <w:pStyle w:val="Normal"/>
        <w:rPr>
          <w:rFonts w:cs="Calibri" w:cstheme="minorAscii"/>
          <w:i w:val="0"/>
          <w:iCs w:val="0"/>
          <w:sz w:val="24"/>
          <w:szCs w:val="24"/>
        </w:rPr>
      </w:pPr>
    </w:p>
    <w:p w:rsidRPr="004B7397" w:rsidR="00A23516" w:rsidP="3F34A281" w:rsidRDefault="00A23516" w14:paraId="2FFC0347" w14:textId="65BE4069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</w:pPr>
      <w:r w:rsidRPr="3F34A281" w:rsidR="6D13AA8C">
        <w:rPr>
          <w:rFonts w:cs="Calibri" w:cstheme="minorAscii"/>
          <w:i w:val="0"/>
          <w:iCs w:val="0"/>
          <w:sz w:val="24"/>
          <w:szCs w:val="24"/>
        </w:rPr>
        <w:t>Appointment of School representative for the campus-level committee</w:t>
      </w:r>
    </w:p>
    <w:p w:rsidRPr="004B7397" w:rsidR="00A23516" w:rsidP="3F34A281" w:rsidRDefault="00A23516" w14:paraId="703F13AF" w14:textId="71D993CA">
      <w:pPr>
        <w:pStyle w:val="Normal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34A281" w:rsidR="00A23516">
        <w:rPr>
          <w:rFonts w:cs="Calibri" w:cstheme="minorAscii"/>
        </w:rPr>
        <w:t>The</w:t>
      </w:r>
      <w:r w:rsidRPr="3F34A281" w:rsidR="00A23516">
        <w:rPr>
          <w:rFonts w:cs="Calibri" w:cstheme="minorAscii"/>
        </w:rPr>
        <w:t xml:space="preserve"> </w:t>
      </w:r>
      <w:r w:rsidRPr="3F34A281" w:rsidR="00A23516">
        <w:rPr>
          <w:rFonts w:cs="Calibri" w:cstheme="minorAscii"/>
        </w:rPr>
        <w:t xml:space="preserve">Policy Council </w:t>
      </w:r>
      <w:r w:rsidRPr="3F34A281" w:rsidR="00A23516">
        <w:rPr>
          <w:rFonts w:cs="Calibri" w:cstheme="minorAscii"/>
        </w:rPr>
        <w:t>Agenda Committee will appoint a school representative for the campus-level committee</w:t>
      </w:r>
      <w:r w:rsidRPr="3F34A281" w:rsidR="00A23516">
        <w:rPr>
          <w:rFonts w:cs="Calibri" w:cstheme="minorAscii"/>
        </w:rPr>
        <w:t xml:space="preserve">. </w:t>
      </w:r>
      <w:r w:rsidRPr="3F34A281" w:rsidR="00A23516">
        <w:rPr>
          <w:rFonts w:cs="Calibri" w:cstheme="minorAscii"/>
        </w:rPr>
        <w:t xml:space="preserve">The name of the representative will be </w:t>
      </w:r>
      <w:r w:rsidRPr="3F34A281" w:rsidR="00A23516">
        <w:rPr>
          <w:rFonts w:cs="Calibri" w:cstheme="minorAscii"/>
        </w:rPr>
        <w:t>communicated</w:t>
      </w:r>
      <w:r w:rsidRPr="3F34A281" w:rsidR="00A23516">
        <w:rPr>
          <w:rFonts w:cs="Calibri" w:cstheme="minorAscii"/>
        </w:rPr>
        <w:t xml:space="preserve"> </w:t>
      </w:r>
      <w:r w:rsidRPr="3F34A281" w:rsidR="00A23516">
        <w:rPr>
          <w:rFonts w:cs="Calibri" w:cstheme="minorAscii"/>
        </w:rPr>
        <w:t xml:space="preserve">to the </w:t>
      </w:r>
      <w:r w:rsidRPr="3F34A281" w:rsidR="00A23516">
        <w:rPr>
          <w:rFonts w:cs="Calibri" w:cstheme="minorAscii"/>
        </w:rPr>
        <w:t>Associate Dean for Research and Faculty D</w:t>
      </w:r>
      <w:r w:rsidRPr="3F34A281" w:rsidR="00A23516">
        <w:rPr>
          <w:rFonts w:cs="Calibri" w:cstheme="minorAscii"/>
        </w:rPr>
        <w:t>evelopment, and the Executive Assistant to the Dean</w:t>
      </w:r>
      <w:r w:rsidRPr="3F34A281" w:rsidR="00A23516">
        <w:rPr>
          <w:rFonts w:cs="Calibri" w:cstheme="minorAscii"/>
        </w:rPr>
        <w:t>.</w:t>
      </w:r>
    </w:p>
    <w:p w:rsidR="00A23516" w:rsidP="00A23516" w:rsidRDefault="00A23516" w14:paraId="3EE30F78" w14:textId="77777777">
      <w:pPr>
        <w:ind w:left="360"/>
        <w:rPr>
          <w:rFonts w:cstheme="minorHAnsi"/>
        </w:rPr>
      </w:pPr>
    </w:p>
    <w:p w:rsidR="00A23516" w:rsidP="3F34A281" w:rsidRDefault="00A23516" w14:paraId="27D541D7" w14:textId="18C327BE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34A281" w:rsidR="00A23516">
        <w:rPr>
          <w:rFonts w:cs="Calibri" w:cstheme="minorAscii"/>
        </w:rPr>
        <w:t>Composing Primary/Department and School/Unit Committees</w:t>
      </w:r>
    </w:p>
    <w:p w:rsidR="00A23516" w:rsidP="3F34A281" w:rsidRDefault="00A23516" w14:paraId="6060F8A5" w14:textId="55C472CB">
      <w:pPr>
        <w:ind w:left="720"/>
        <w:rPr>
          <w:rFonts w:cs="Calibri" w:cstheme="minorAscii"/>
        </w:rPr>
      </w:pPr>
      <w:r w:rsidRPr="3F34A281" w:rsidR="00A23516">
        <w:rPr>
          <w:rFonts w:cs="Calibri" w:cstheme="minorAscii"/>
        </w:rPr>
        <w:t xml:space="preserve">The School of Education houses two departments. Each department will form </w:t>
      </w:r>
      <w:r w:rsidRPr="3F34A281" w:rsidR="00A23516">
        <w:rPr>
          <w:rFonts w:cs="Calibri" w:cstheme="minorAscii"/>
        </w:rPr>
        <w:t>one</w:t>
      </w:r>
      <w:r w:rsidRPr="3F34A281" w:rsidR="00A23516">
        <w:rPr>
          <w:rFonts w:cs="Calibri" w:cstheme="minorAscii"/>
        </w:rPr>
        <w:t xml:space="preserve"> </w:t>
      </w:r>
      <w:r w:rsidRPr="3F34A281" w:rsidR="00A23516">
        <w:rPr>
          <w:rFonts w:cs="Calibri" w:cstheme="minorAscii"/>
        </w:rPr>
        <w:t xml:space="preserve">review committee according to the procedures outlined below. </w:t>
      </w:r>
      <w:r w:rsidRPr="3F34A281" w:rsidR="00A23516">
        <w:rPr>
          <w:rFonts w:cs="Calibri" w:cstheme="minorAscii"/>
        </w:rPr>
        <w:t xml:space="preserve">This committee will serve as the Primary/Departmental Committee for candidates from the department; this committee will serve as the School/Unit Committee for candidates outside the department. The committee will be </w:t>
      </w:r>
      <w:proofErr w:type="gramStart"/>
      <w:r w:rsidRPr="3F34A281" w:rsidR="00A23516">
        <w:rPr>
          <w:rFonts w:cs="Calibri" w:cstheme="minorAscii"/>
        </w:rPr>
        <w:t>com</w:t>
      </w:r>
      <w:r w:rsidRPr="3F34A281" w:rsidR="3F34A281">
        <w:rPr>
          <w:rFonts w:cs="Calibri" w:cstheme="minorAscii"/>
        </w:rPr>
        <w:t>posed</w:t>
      </w:r>
      <w:proofErr w:type="gramEnd"/>
      <w:r w:rsidRPr="3F34A281" w:rsidR="3F34A281">
        <w:rPr>
          <w:rFonts w:cs="Calibri" w:cstheme="minorAscii"/>
        </w:rPr>
        <w:t xml:space="preserve"> as follows:</w:t>
      </w:r>
    </w:p>
    <w:p w:rsidR="3F34A281" w:rsidP="3F34A281" w:rsidRDefault="3F34A281" w14:paraId="15CFF9A0" w14:textId="2BFDDFC9">
      <w:pPr>
        <w:pStyle w:val="Normal"/>
        <w:ind w:left="0"/>
        <w:rPr>
          <w:rFonts w:cs="Calibri" w:cstheme="minorAscii"/>
          <w:sz w:val="24"/>
          <w:szCs w:val="24"/>
        </w:rPr>
      </w:pPr>
    </w:p>
    <w:p w:rsidR="00A23516" w:rsidP="6D13AA8C" w:rsidRDefault="00A23516" w14:paraId="032FCBEE" w14:textId="06FA96F2">
      <w:pPr>
        <w:pStyle w:val="ListParagraph"/>
        <w:numPr>
          <w:ilvl w:val="0"/>
          <w:numId w:val="2"/>
        </w:numPr>
        <w:rPr>
          <w:rFonts w:cs="Calibri" w:cstheme="minorAscii"/>
        </w:rPr>
      </w:pPr>
      <w:r w:rsidRPr="3F34A281" w:rsidR="00A23516">
        <w:rPr>
          <w:rFonts w:cs="Calibri" w:cstheme="minorAscii"/>
        </w:rPr>
        <w:t>The Department’s promotion and tenure committee will be composed of all eligible faculty members in the department</w:t>
      </w:r>
      <w:r w:rsidRPr="3F34A281" w:rsidR="00A23516">
        <w:rPr>
          <w:rFonts w:cs="Calibri" w:cstheme="minorAscii"/>
        </w:rPr>
        <w:t>, and must have a minimum of four members</w:t>
      </w:r>
    </w:p>
    <w:p w:rsidRPr="00B77AF5" w:rsidR="00A23516" w:rsidP="6D13AA8C" w:rsidRDefault="00A23516" w14:paraId="7601C673" w14:textId="3612FD5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13AA8C" w:rsidR="00A23516">
        <w:rPr>
          <w:rFonts w:cs="Calibri" w:cstheme="minorAscii"/>
        </w:rPr>
        <w:t xml:space="preserve">Faculty who are unable to participate in formally scheduled </w:t>
      </w:r>
      <w:r w:rsidRPr="6D13AA8C" w:rsidR="00A23516">
        <w:rPr>
          <w:rFonts w:cs="Calibri" w:cstheme="minorAscii"/>
        </w:rPr>
        <w:t xml:space="preserve">review meetings are not eligible to serve on a </w:t>
      </w:r>
      <w:r w:rsidRPr="6D13AA8C" w:rsidR="00A23516">
        <w:rPr>
          <w:rFonts w:cs="Calibri" w:cstheme="minorAscii"/>
        </w:rPr>
        <w:t xml:space="preserve">review committee.</w:t>
      </w:r>
      <w:r w:rsidRPr="6D13AA8C">
        <w:rPr>
          <w:rStyle w:val="FootnoteReference"/>
          <w:rFonts w:cs="Calibri" w:cstheme="minorAscii"/>
        </w:rPr>
        <w:footnoteReference w:id="1"/>
      </w:r>
      <w:r w:rsidRPr="6D13AA8C" w:rsidR="00A23516">
        <w:rPr>
          <w:rFonts w:cs="Calibri" w:cstheme="minorAscii"/>
        </w:rPr>
        <w:t xml:space="preserve"> When this is the case, the faculty member must provide in writing </w:t>
      </w:r>
      <w:r w:rsidRPr="6D13AA8C" w:rsidR="00A23516">
        <w:rPr>
          <w:rFonts w:cs="Calibri" w:cstheme="minorAscii"/>
        </w:rPr>
        <w:t xml:space="preserve">the</w:t>
      </w:r>
      <w:r w:rsidRPr="6D13AA8C" w:rsidR="00A23516">
        <w:rPr>
          <w:rFonts w:cs="Calibri" w:cstheme="minorAscii"/>
        </w:rPr>
        <w:t xml:space="preserve"> reason for not participating</w:t>
      </w:r>
      <w:r w:rsidRPr="6D13AA8C" w:rsidR="00A23516">
        <w:rPr>
          <w:rFonts w:cs="Calibri" w:cstheme="minorAscii"/>
        </w:rPr>
        <w:t xml:space="preserve"> </w:t>
      </w:r>
      <w:r w:rsidRPr="6D13AA8C" w:rsidR="00A23516">
        <w:rPr>
          <w:rFonts w:cs="Calibri" w:cstheme="minorAscii"/>
        </w:rPr>
        <w:t>to</w:t>
      </w:r>
      <w:r w:rsidRPr="6D13AA8C" w:rsidR="00A23516">
        <w:rPr>
          <w:rFonts w:cs="Calibri" w:cstheme="minorAscii"/>
        </w:rPr>
        <w:t xml:space="preserve"> the committee chair</w:t>
      </w:r>
      <w:r w:rsidRPr="6D13AA8C" w:rsidR="00A23516">
        <w:rPr>
          <w:rFonts w:cs="Calibri" w:cstheme="minorAscii"/>
        </w:rPr>
        <w:t>, Associate Dean for Research and Faculty D</w:t>
      </w:r>
      <w:r w:rsidRPr="6D13AA8C" w:rsidR="00A23516">
        <w:rPr>
          <w:rFonts w:cs="Calibri" w:cstheme="minorAscii"/>
        </w:rPr>
        <w:t>evelopment, and the Executive Assistant to the Dean</w:t>
      </w:r>
      <w:r w:rsidRPr="6D13AA8C" w:rsidR="00A23516">
        <w:rPr>
          <w:rFonts w:cs="Calibri" w:cstheme="minorAscii"/>
        </w:rPr>
        <w:t xml:space="preserve">.</w:t>
      </w:r>
    </w:p>
    <w:p w:rsidRPr="00B77AF5" w:rsidR="00A23516" w:rsidP="6D13AA8C" w:rsidRDefault="00A23516" w14:paraId="664C8800" w14:textId="6BAB4E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34A281" w:rsidR="00A23516">
        <w:rPr>
          <w:rFonts w:cs="Calibri" w:cstheme="minorAscii"/>
        </w:rPr>
        <w:t xml:space="preserve">The Associate Dean for Academic Affairs may serve as a member of a promotion and tenure Committee. </w:t>
      </w:r>
    </w:p>
    <w:p w:rsidRPr="00C32FFD" w:rsidR="00A23516" w:rsidP="6D13AA8C" w:rsidRDefault="00A23516" w14:paraId="210A5480" w14:textId="77777777">
      <w:pPr>
        <w:pStyle w:val="ListParagraph"/>
        <w:numPr>
          <w:ilvl w:val="0"/>
          <w:numId w:val="2"/>
        </w:numPr>
        <w:rPr>
          <w:rFonts w:cs="Calibri" w:cstheme="minorAscii"/>
        </w:rPr>
      </w:pPr>
      <w:r w:rsidRPr="3F34A281" w:rsidR="00A23516">
        <w:rPr>
          <w:rFonts w:cs="Calibri" w:cstheme="minorAscii"/>
        </w:rPr>
        <w:t xml:space="preserve">The Associate Dean for Research and Faculty Development may serve as a member of a promotion and tenure Committee. </w:t>
      </w:r>
    </w:p>
    <w:p w:rsidR="00A23516" w:rsidP="6D13AA8C" w:rsidRDefault="00A23516" w14:paraId="24586694" w14:textId="2870482F">
      <w:pPr>
        <w:pStyle w:val="ListParagraph"/>
        <w:numPr>
          <w:ilvl w:val="0"/>
          <w:numId w:val="2"/>
        </w:numPr>
        <w:rPr>
          <w:rFonts w:cs="Calibri" w:cstheme="minorAscii"/>
        </w:rPr>
      </w:pPr>
      <w:r w:rsidRPr="3F34A281" w:rsidR="00A23516">
        <w:rPr>
          <w:rFonts w:cs="Calibri" w:cstheme="minorAscii"/>
        </w:rPr>
        <w:t>The Department Chair may serve as a member of a School/Unit committee when the candidate is not a member of that Chair’s department.</w:t>
      </w:r>
    </w:p>
    <w:p w:rsidR="00D35830" w:rsidP="6D13AA8C" w:rsidRDefault="00D35830" w14:paraId="06301C56" w14:textId="77777777" w14:noSpellErr="1">
      <w:pPr>
        <w:rPr>
          <w:rFonts w:cs="Calibri" w:cstheme="minorAscii"/>
        </w:rPr>
      </w:pPr>
    </w:p>
    <w:p w:rsidR="00A23516" w:rsidP="3F34A281" w:rsidRDefault="00A23516" w14:paraId="1D302DB9" w14:textId="3C828532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34A281" w:rsidR="00D35830">
        <w:rPr>
          <w:rFonts w:cs="Calibri" w:cstheme="minorAscii"/>
        </w:rPr>
        <w:t xml:space="preserve">Composing a single </w:t>
      </w:r>
      <w:r w:rsidRPr="3F34A281" w:rsidR="00D35830">
        <w:rPr>
          <w:rFonts w:cs="Calibri" w:cstheme="minorAscii"/>
        </w:rPr>
        <w:t>School/Unit Committee</w:t>
      </w:r>
    </w:p>
    <w:p w:rsidR="00A23516" w:rsidP="3F34A281" w:rsidRDefault="00A23516" w14:paraId="10F1D463" w14:textId="491944ED">
      <w:pPr>
        <w:ind w:left="720"/>
        <w:rPr>
          <w:rFonts w:cs="Calibri" w:cstheme="minorAscii"/>
        </w:rPr>
      </w:pPr>
      <w:proofErr w:type="gramStart"/>
      <w:r w:rsidRPr="3F34A281" w:rsidR="00D35830">
        <w:rPr>
          <w:rFonts w:cs="Calibri" w:cstheme="minorAscii"/>
        </w:rPr>
        <w:t>In the event that</w:t>
      </w:r>
      <w:proofErr w:type="gramEnd"/>
      <w:r w:rsidRPr="3F34A281" w:rsidR="00D35830">
        <w:rPr>
          <w:rFonts w:cs="Calibri" w:cstheme="minorAscii"/>
        </w:rPr>
        <w:t xml:space="preserve"> </w:t>
      </w:r>
      <w:r w:rsidRPr="3F34A281" w:rsidR="00D35830">
        <w:rPr>
          <w:rFonts w:cs="Calibri" w:cstheme="minorAscii"/>
        </w:rPr>
        <w:t xml:space="preserve">the </w:t>
      </w:r>
      <w:proofErr w:type="gramStart"/>
      <w:r w:rsidRPr="3F34A281" w:rsidR="00D35830">
        <w:rPr>
          <w:rFonts w:cs="Calibri" w:cstheme="minorAscii"/>
        </w:rPr>
        <w:t>School</w:t>
      </w:r>
      <w:proofErr w:type="gramEnd"/>
      <w:r w:rsidRPr="3F34A281" w:rsidR="00D35830">
        <w:rPr>
          <w:rFonts w:cs="Calibri" w:cstheme="minorAscii"/>
        </w:rPr>
        <w:t xml:space="preserve"> lacks </w:t>
      </w:r>
      <w:proofErr w:type="gramStart"/>
      <w:r w:rsidRPr="3F34A281" w:rsidR="00D35830">
        <w:rPr>
          <w:rFonts w:cs="Calibri" w:cstheme="minorAscii"/>
        </w:rPr>
        <w:t>a sufficient number of</w:t>
      </w:r>
      <w:proofErr w:type="gramEnd"/>
      <w:r w:rsidRPr="3F34A281" w:rsidR="00D35830">
        <w:rPr>
          <w:rFonts w:cs="Calibri" w:cstheme="minorAscii"/>
        </w:rPr>
        <w:t xml:space="preserve"> eligible departmental members to compose separate Primary/Department and School/Unit review committees,</w:t>
      </w:r>
      <w:r w:rsidRPr="3F34A281" w:rsidR="00D35830">
        <w:rPr>
          <w:rFonts w:cs="Calibri" w:cstheme="minorAscii"/>
        </w:rPr>
        <w:t xml:space="preserve"> the </w:t>
      </w:r>
      <w:proofErr w:type="gramStart"/>
      <w:r w:rsidRPr="3F34A281" w:rsidR="00D35830">
        <w:rPr>
          <w:rFonts w:cs="Calibri" w:cstheme="minorAscii"/>
        </w:rPr>
        <w:t>School</w:t>
      </w:r>
      <w:proofErr w:type="gramEnd"/>
      <w:r w:rsidRPr="3F34A281" w:rsidR="00D35830">
        <w:rPr>
          <w:rFonts w:cs="Calibri" w:cstheme="minorAscii"/>
        </w:rPr>
        <w:t xml:space="preserve"> shall seat a single review committee according to the procedure </w:t>
      </w:r>
      <w:r w:rsidRPr="3F34A281" w:rsidR="00D35830">
        <w:rPr>
          <w:rFonts w:cs="Calibri" w:cstheme="minorAscii"/>
        </w:rPr>
        <w:t>above</w:t>
      </w:r>
      <w:r w:rsidRPr="3F34A281" w:rsidR="00D35830">
        <w:rPr>
          <w:rFonts w:cs="Calibri" w:cstheme="minorAscii"/>
        </w:rPr>
        <w:t xml:space="preserve"> for the </w:t>
      </w:r>
      <w:r w:rsidRPr="3F34A281" w:rsidR="00BE627F">
        <w:rPr>
          <w:rFonts w:cs="Calibri" w:cstheme="minorAscii"/>
        </w:rPr>
        <w:t xml:space="preserve">purposes of </w:t>
      </w:r>
      <w:r w:rsidRPr="3F34A281" w:rsidR="00D35830">
        <w:rPr>
          <w:rFonts w:cs="Calibri" w:cstheme="minorAscii"/>
        </w:rPr>
        <w:t>promotion and pre-promotion reviews.</w:t>
      </w:r>
    </w:p>
    <w:p w:rsidR="00A23516" w:rsidP="411B209F" w:rsidRDefault="00A23516" w14:paraId="6E63F874" w14:textId="0F52BD4C">
      <w:pPr>
        <w:pStyle w:val="Normal"/>
        <w:rPr>
          <w:rFonts w:cs="Calibri" w:cstheme="minorAscii"/>
          <w:sz w:val="24"/>
          <w:szCs w:val="24"/>
        </w:rPr>
      </w:pPr>
    </w:p>
    <w:p w:rsidR="00235F93" w:rsidP="3F34A281" w:rsidRDefault="006E7CE9" w14:paraId="04AC1B3C" w14:textId="3B45E534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34A281" w:rsidR="006E7CE9">
        <w:rPr>
          <w:rFonts w:cs="Calibri" w:cstheme="minorAscii"/>
        </w:rPr>
        <w:t>Appointment of</w:t>
      </w:r>
      <w:r w:rsidRPr="3F34A281" w:rsidR="00235F93">
        <w:rPr>
          <w:rFonts w:cs="Calibri" w:cstheme="minorAscii"/>
        </w:rPr>
        <w:t xml:space="preserve"> </w:t>
      </w:r>
      <w:r w:rsidRPr="3F34A281" w:rsidR="00235F93">
        <w:rPr>
          <w:rFonts w:cs="Calibri" w:cstheme="minorAscii"/>
        </w:rPr>
        <w:t>non-School members</w:t>
      </w:r>
    </w:p>
    <w:p w:rsidRPr="0073240C" w:rsidR="00235F93" w:rsidDel="0073240C" w:rsidP="3F34A281" w:rsidRDefault="00235F93" w14:paraId="0C3F7F4B" w14:textId="5370943E">
      <w:pPr>
        <w:ind w:left="720"/>
        <w:rPr>
          <w:rFonts w:ascii="Times New Roman" w:hAnsi="Times New Roman" w:eastAsia="Times New Roman" w:cs="Times New Roman"/>
        </w:rPr>
      </w:pPr>
      <w:r w:rsidRPr="6D13AA8C" w:rsidR="0028633B">
        <w:rPr>
          <w:rFonts w:cs="Calibri" w:cstheme="minorAscii"/>
        </w:rPr>
        <w:t>A</w:t>
      </w:r>
      <w:r w:rsidRPr="6D13AA8C" w:rsidR="00F90CE1">
        <w:rPr>
          <w:rFonts w:cs="Calibri" w:cstheme="minorAscii"/>
        </w:rPr>
        <w:t>n</w:t>
      </w:r>
      <w:r w:rsidRPr="6D13AA8C" w:rsidR="00F90CE1">
        <w:rPr>
          <w:rFonts w:cs="Calibri" w:cstheme="minorAscii"/>
        </w:rPr>
        <w:t xml:space="preserve"> outside member</w:t>
      </w:r>
      <w:r w:rsidRPr="6D13AA8C" w:rsidR="00F90CE1">
        <w:rPr>
          <w:rFonts w:cs="Calibri" w:cstheme="minorAscii"/>
        </w:rPr>
        <w:t xml:space="preserve"> may be appointed to a review committee:</w:t>
      </w:r>
      <w:r w:rsidRPr="6D13AA8C" w:rsidR="00F90CE1">
        <w:rPr>
          <w:rFonts w:cs="Calibri" w:cstheme="minorAscii"/>
        </w:rPr>
        <w:t xml:space="preserve"> (a) </w:t>
      </w:r>
      <w:r w:rsidRPr="6D13AA8C" w:rsidR="00F90CE1">
        <w:rPr>
          <w:rFonts w:cs="Calibri" w:cstheme="minorAscii"/>
        </w:rPr>
        <w:t xml:space="preserve">to meet </w:t>
      </w:r>
      <w:r w:rsidRPr="6D13AA8C" w:rsidR="00F90CE1">
        <w:rPr>
          <w:rFonts w:cs="Calibri" w:cstheme="minorAscii"/>
        </w:rPr>
        <w:t xml:space="preserve">the required </w:t>
      </w:r>
      <w:r w:rsidRPr="6D13AA8C" w:rsidR="00F90CE1">
        <w:rPr>
          <w:rFonts w:cs="Calibri" w:cstheme="minorAscii"/>
        </w:rPr>
        <w:t>minimum number</w:t>
      </w:r>
      <w:r w:rsidRPr="6D13AA8C" w:rsidR="00F90CE1">
        <w:rPr>
          <w:rFonts w:cs="Calibri" w:cstheme="minorAscii"/>
        </w:rPr>
        <w:t xml:space="preserve"> of four members</w:t>
      </w:r>
      <w:r w:rsidRPr="6D13AA8C" w:rsidR="00F90CE1">
        <w:rPr>
          <w:rFonts w:cs="Calibri" w:cstheme="minorAscii"/>
        </w:rPr>
        <w:t xml:space="preserve">; </w:t>
      </w:r>
      <w:r w:rsidRPr="6D13AA8C" w:rsidR="00F90CE1">
        <w:rPr>
          <w:rFonts w:cs="Calibri" w:cstheme="minorAscii"/>
        </w:rPr>
        <w:t>and/</w:t>
      </w:r>
      <w:r w:rsidRPr="6D13AA8C" w:rsidR="00F90CE1">
        <w:rPr>
          <w:rFonts w:cs="Calibri" w:cstheme="minorAscii"/>
        </w:rPr>
        <w:t xml:space="preserve">or (b) </w:t>
      </w:r>
      <w:r w:rsidRPr="6D13AA8C" w:rsidR="00F90CE1">
        <w:rPr>
          <w:rFonts w:cs="Calibri" w:cstheme="minorAscii"/>
        </w:rPr>
        <w:t>to</w:t>
      </w:r>
      <w:r w:rsidRPr="6D13AA8C" w:rsidR="00CE0780">
        <w:rPr>
          <w:rFonts w:cs="Calibri" w:cstheme="minorAscii"/>
        </w:rPr>
        <w:t xml:space="preserve"> </w:t>
      </w:r>
      <w:r w:rsidRPr="6D13AA8C" w:rsidR="00CE0780">
        <w:rPr>
          <w:rFonts w:cs="Calibri" w:cstheme="minorAscii"/>
        </w:rPr>
        <w:t xml:space="preserve">add </w:t>
      </w:r>
      <w:r w:rsidRPr="6D13AA8C" w:rsidR="006D014E">
        <w:rPr>
          <w:rFonts w:cs="Calibri" w:cstheme="minorAscii"/>
        </w:rPr>
        <w:t>expertise</w:t>
      </w:r>
      <w:r w:rsidRPr="6D13AA8C" w:rsidR="006D014E">
        <w:rPr>
          <w:rFonts w:cs="Calibri" w:cstheme="minorAscii"/>
        </w:rPr>
        <w:t xml:space="preserve"> </w:t>
      </w:r>
      <w:r w:rsidRPr="6D13AA8C" w:rsidR="006D014E">
        <w:rPr>
          <w:rFonts w:cs="Calibri" w:cstheme="minorAscii"/>
        </w:rPr>
        <w:t>germane</w:t>
      </w:r>
      <w:r w:rsidRPr="6D13AA8C" w:rsidR="006D014E">
        <w:rPr>
          <w:rFonts w:cs="Calibri" w:cstheme="minorAscii"/>
        </w:rPr>
        <w:t xml:space="preserve"> to the candidate’s area of</w:t>
      </w:r>
      <w:r w:rsidRPr="6D13AA8C" w:rsidR="006D014E">
        <w:rPr>
          <w:rFonts w:cs="Calibri" w:cstheme="minorAscii"/>
        </w:rPr>
        <w:t xml:space="preserve"> work</w:t>
      </w:r>
      <w:r w:rsidRPr="6D13AA8C" w:rsidR="006D014E">
        <w:rPr>
          <w:rFonts w:cs="Calibri" w:cstheme="minorAscii"/>
        </w:rPr>
        <w:t>.</w:t>
      </w:r>
      <w:r w:rsidRPr="6D13AA8C">
        <w:rPr>
          <w:rStyle w:val="FootnoteReference"/>
          <w:rFonts w:cs="Calibri" w:cstheme="minorAscii"/>
        </w:rPr>
        <w:footnoteReference w:id="5477"/>
      </w:r>
      <w:r w:rsidRPr="6D13AA8C" w:rsidR="006D014E">
        <w:rPr>
          <w:rFonts w:cs="Calibri" w:cstheme="minorAscii"/>
        </w:rPr>
        <w:t xml:space="preserve"> </w:t>
      </w:r>
      <w:r w:rsidRPr="6D13AA8C" w:rsidR="006D014E">
        <w:rPr>
          <w:rFonts w:cs="Calibri" w:cstheme="minorAscii"/>
        </w:rPr>
        <w:t>In such cases, t</w:t>
      </w:r>
      <w:r w:rsidRPr="6D13AA8C" w:rsidR="006D014E">
        <w:rPr>
          <w:rFonts w:cs="Calibri" w:cstheme="minorAscii"/>
        </w:rPr>
        <w:t xml:space="preserve">he Dean </w:t>
      </w:r>
      <w:r w:rsidRPr="6D13AA8C" w:rsidR="006D014E">
        <w:rPr>
          <w:rFonts w:cs="Calibri" w:cstheme="minorAscii"/>
        </w:rPr>
        <w:t xml:space="preserve">shall </w:t>
      </w:r>
      <w:r w:rsidRPr="6D13AA8C" w:rsidR="000D1FEB">
        <w:rPr>
          <w:rFonts w:cs="Calibri" w:cstheme="minorAscii"/>
        </w:rPr>
        <w:t xml:space="preserve">appoint </w:t>
      </w:r>
      <w:r w:rsidRPr="6D13AA8C" w:rsidR="000D1FEB">
        <w:rPr>
          <w:rFonts w:cs="Calibri" w:cstheme="minorAscii"/>
        </w:rPr>
        <w:t>a</w:t>
      </w:r>
      <w:r w:rsidRPr="6D13AA8C" w:rsidR="000D1FEB">
        <w:rPr>
          <w:rFonts w:cs="Calibri" w:cstheme="minorAscii"/>
        </w:rPr>
        <w:t>n</w:t>
      </w:r>
      <w:r w:rsidRPr="6D13AA8C" w:rsidR="000D1FEB">
        <w:rPr>
          <w:rFonts w:cs="Calibri" w:cstheme="minorAscii"/>
        </w:rPr>
        <w:t xml:space="preserve"> Indiana University faculty</w:t>
      </w:r>
      <w:r w:rsidRPr="6D13AA8C" w:rsidR="000D1FEB">
        <w:rPr>
          <w:rFonts w:cs="Calibri" w:cstheme="minorAscii"/>
        </w:rPr>
        <w:t xml:space="preserve"> member</w:t>
      </w:r>
      <w:r w:rsidRPr="6D13AA8C" w:rsidR="00CD4942">
        <w:rPr>
          <w:rFonts w:cs="Calibri" w:cstheme="minorAscii"/>
        </w:rPr>
        <w:t xml:space="preserve"> </w:t>
      </w:r>
      <w:r w:rsidRPr="6D13AA8C" w:rsidR="00CD4942">
        <w:rPr>
          <w:rFonts w:cs="Calibri" w:cstheme="minorAscii"/>
        </w:rPr>
        <w:t>of appropriate ran</w:t>
      </w:r>
      <w:r w:rsidRPr="6D13AA8C" w:rsidR="00CD4942">
        <w:rPr>
          <w:rFonts w:cs="Calibri" w:cstheme="minorAscii"/>
        </w:rPr>
        <w:t xml:space="preserve">k </w:t>
      </w:r>
      <w:r w:rsidRPr="6D13AA8C" w:rsidR="003B3EE1">
        <w:rPr>
          <w:rFonts w:cs="Calibri" w:cstheme="minorAscii"/>
        </w:rPr>
        <w:t xml:space="preserve">from another </w:t>
      </w:r>
      <w:r w:rsidRPr="6D13AA8C" w:rsidR="003B3EE1">
        <w:rPr>
          <w:rFonts w:cs="Calibri" w:cstheme="minorAscii"/>
        </w:rPr>
        <w:t xml:space="preserve">IUPUI </w:t>
      </w:r>
      <w:r w:rsidRPr="6D13AA8C" w:rsidR="003B3EE1">
        <w:rPr>
          <w:rFonts w:cs="Calibri" w:cstheme="minorAscii"/>
        </w:rPr>
        <w:t>School</w:t>
      </w:r>
      <w:r w:rsidRPr="6D13AA8C" w:rsidR="00CD4942">
        <w:rPr>
          <w:rFonts w:cs="Calibri" w:cstheme="minorAscii"/>
        </w:rPr>
        <w:t xml:space="preserve"> </w:t>
      </w:r>
      <w:r w:rsidRPr="6D13AA8C" w:rsidR="00CD4942">
        <w:rPr>
          <w:rFonts w:cs="Calibri" w:cstheme="minorAscii"/>
        </w:rPr>
        <w:t xml:space="preserve">or </w:t>
      </w:r>
      <w:r w:rsidRPr="6D13AA8C" w:rsidR="00CD4942">
        <w:rPr>
          <w:rFonts w:cs="Calibri" w:cstheme="minorAscii"/>
        </w:rPr>
        <w:t xml:space="preserve">IU </w:t>
      </w:r>
      <w:r w:rsidRPr="6D13AA8C" w:rsidR="00CD4942">
        <w:rPr>
          <w:rFonts w:cs="Calibri" w:cstheme="minorAscii"/>
        </w:rPr>
        <w:t xml:space="preserve">campus </w:t>
      </w:r>
      <w:r w:rsidRPr="6D13AA8C" w:rsidR="000D1FEB">
        <w:rPr>
          <w:rFonts w:cs="Calibri" w:cstheme="minorAscii"/>
        </w:rPr>
        <w:t xml:space="preserve">in consultation with the duly </w:t>
      </w:r>
      <w:r w:rsidRPr="6D13AA8C" w:rsidR="003B3EE1">
        <w:rPr>
          <w:rFonts w:cs="Calibri" w:cstheme="minorAscii"/>
        </w:rPr>
        <w:t>constituted</w:t>
      </w:r>
      <w:r w:rsidRPr="6D13AA8C" w:rsidR="00CC2610">
        <w:rPr>
          <w:rFonts w:cs="Calibri" w:cstheme="minorAscii"/>
        </w:rPr>
        <w:t xml:space="preserve"> committee</w:t>
      </w:r>
      <w:r w:rsidRPr="6D13AA8C" w:rsidR="00CC2610">
        <w:rPr>
          <w:rFonts w:cs="Calibri" w:cstheme="minorAscii"/>
        </w:rPr>
        <w:t xml:space="preserve"> as outlined in the campus guidelines</w:t>
      </w:r>
      <w:r w:rsidRPr="6D13AA8C" w:rsidR="00444F4C">
        <w:rPr>
          <w:rFonts w:cs="Calibri" w:cstheme="minorAscii"/>
        </w:rPr>
        <w:t xml:space="preserve">. </w:t>
      </w:r>
      <w:r w:rsidRPr="6D13AA8C" w:rsidR="00444F4C">
        <w:rPr>
          <w:rFonts w:cs="Calibri" w:cstheme="minorAscii"/>
        </w:rPr>
        <w:t>The</w:t>
      </w:r>
      <w:r w:rsidRPr="3F34A281" w:rsidR="00444F4C">
        <w:rPr>
          <w:rFonts w:cs="Calibri" w:cstheme="minorAscii"/>
        </w:rPr>
        <w:t xml:space="preserve"> </w:t>
      </w:r>
      <w:r w:rsidRPr="3F34A281" w:rsidR="00444F4C">
        <w:rPr>
          <w:rFonts w:cs="Calibri" w:cstheme="minorAscii"/>
        </w:rPr>
        <w:t xml:space="preserve">memo </w:t>
      </w:r>
      <w:r w:rsidRPr="6D13AA8C" w:rsidR="00444F4C">
        <w:rPr>
          <w:rFonts w:cs="Calibri" w:cstheme="minorAscii"/>
        </w:rPr>
        <w:t xml:space="preserve">of appointment </w:t>
      </w:r>
      <w:r w:rsidRPr="6D13AA8C" w:rsidR="00444F4C">
        <w:rPr>
          <w:rFonts w:cs="Calibri" w:cstheme="minorAscii"/>
        </w:rPr>
        <w:t xml:space="preserve">providing </w:t>
      </w:r>
      <w:r w:rsidRPr="6D13AA8C" w:rsidR="00444F4C">
        <w:rPr>
          <w:rFonts w:cs="Calibri" w:cstheme="minorAscii"/>
        </w:rPr>
        <w:t>the rationale</w:t>
      </w:r>
      <w:r w:rsidRPr="6D13AA8C" w:rsidR="00444F4C">
        <w:rPr>
          <w:rFonts w:cs="Calibri" w:cstheme="minorAscii"/>
        </w:rPr>
        <w:t xml:space="preserve"> </w:t>
      </w:r>
      <w:r w:rsidRPr="6D13AA8C" w:rsidR="00444F4C">
        <w:rPr>
          <w:rFonts w:cs="Calibri" w:cstheme="minorAscii"/>
        </w:rPr>
        <w:t>for appoin</w:t>
      </w:r>
      <w:r w:rsidRPr="6D13AA8C" w:rsidR="00444F4C">
        <w:rPr>
          <w:rFonts w:cs="Calibri" w:cstheme="minorAscii"/>
        </w:rPr>
        <w:t>t</w:t>
      </w:r>
      <w:r w:rsidRPr="6D13AA8C" w:rsidR="00444F4C">
        <w:rPr>
          <w:rFonts w:cs="Calibri" w:cstheme="minorAscii"/>
        </w:rPr>
        <w:t>ment</w:t>
      </w:r>
      <w:r w:rsidRPr="6D13AA8C" w:rsidR="00444F4C">
        <w:rPr>
          <w:rFonts w:cs="Calibri" w:cstheme="minorAscii"/>
        </w:rPr>
        <w:t xml:space="preserve"> </w:t>
      </w:r>
      <w:r w:rsidRPr="6D13AA8C" w:rsidR="00444F4C">
        <w:rPr>
          <w:rFonts w:cs="Calibri" w:cstheme="minorAscii"/>
        </w:rPr>
        <w:t>will be shared with committee members</w:t>
      </w:r>
      <w:r w:rsidRPr="6D13AA8C" w:rsidR="00444F4C">
        <w:rPr>
          <w:rFonts w:cs="Calibri" w:cstheme="minorAscii"/>
        </w:rPr>
        <w:t>. T</w:t>
      </w:r>
      <w:r w:rsidRPr="6D13AA8C" w:rsidR="00444F4C">
        <w:rPr>
          <w:rFonts w:cs="Calibri" w:cstheme="minorAscii"/>
        </w:rPr>
        <w:t xml:space="preserve">he appointment shall be noted in the </w:t>
      </w:r>
      <w:r w:rsidRPr="6D13AA8C" w:rsidR="00444F4C">
        <w:rPr>
          <w:rFonts w:cs="Calibri" w:cstheme="minorAscii"/>
        </w:rPr>
        <w:t xml:space="preserve">review letter composed by the </w:t>
      </w:r>
      <w:r w:rsidRPr="6D13AA8C" w:rsidR="00444F4C">
        <w:rPr>
          <w:rFonts w:cs="Calibri" w:cstheme="minorAscii"/>
        </w:rPr>
        <w:t>review committee</w:t>
      </w:r>
      <w:r w:rsidRPr="6D13AA8C" w:rsidR="00444F4C">
        <w:rPr>
          <w:rFonts w:cs="Calibri" w:cstheme="minorAscii"/>
        </w:rPr>
        <w:t xml:space="preserve">. </w:t>
      </w:r>
      <w:r w:rsidRPr="6D13AA8C" w:rsidR="00444F4C">
        <w:rPr>
          <w:rFonts w:cs="Calibri" w:cstheme="minorAscii"/>
        </w:rPr>
        <w:t xml:space="preserve">Per university </w:t>
      </w:r>
      <w:r w:rsidRPr="6D13AA8C" w:rsidR="00444F4C">
        <w:rPr>
          <w:rFonts w:cs="Calibri" w:cstheme="minorAscii"/>
        </w:rPr>
        <w:t>policy</w:t>
      </w:r>
      <w:r w:rsidRPr="6D13AA8C" w:rsidR="00444F4C">
        <w:rPr>
          <w:rFonts w:cs="Calibri" w:cstheme="minorAscii"/>
        </w:rPr>
        <w:t xml:space="preserve">, </w:t>
      </w:r>
      <w:r w:rsidRPr="6D13AA8C" w:rsidR="00444F4C">
        <w:rPr>
          <w:rFonts w:cs="Calibri" w:cstheme="minorAscii"/>
        </w:rPr>
        <w:t>c</w:t>
      </w:r>
      <w:r w:rsidRPr="6D13AA8C" w:rsidR="00D846A7">
        <w:rPr>
          <w:rFonts w:ascii="Times New Roman" w:hAnsi="Times New Roman" w:eastAsia="Times New Roman" w:cs="Times New Roman"/>
        </w:rPr>
        <w:t>andidates are to have no role in identifying or soliciting additional members.</w:t>
      </w:r>
    </w:p>
    <w:p w:rsidR="00A23516" w:rsidP="00A23516" w:rsidRDefault="00A23516" w14:paraId="7B030B2D" w14:textId="77777777">
      <w:pPr>
        <w:rPr>
          <w:rFonts w:cstheme="minorHAnsi"/>
        </w:rPr>
      </w:pPr>
    </w:p>
    <w:p w:rsidRPr="0073240C" w:rsidR="00A23516" w:rsidP="6D13AA8C" w:rsidRDefault="00A23516" w14:paraId="3ED0C09F" w14:textId="0762B652">
      <w:pPr>
        <w:rPr>
          <w:rFonts w:cs="Calibri" w:cstheme="minorAscii"/>
        </w:rPr>
      </w:pPr>
      <w:r w:rsidRPr="3F34A281" w:rsidR="0073240C">
        <w:rPr>
          <w:rFonts w:cs="Calibri" w:cstheme="minorAscii"/>
        </w:rPr>
        <w:t>Adopted:</w:t>
      </w:r>
      <w:r w:rsidRPr="3F34A281" w:rsidR="00A23516">
        <w:rPr>
          <w:rFonts w:cs="Calibri" w:cstheme="minorAscii"/>
        </w:rPr>
        <w:t xml:space="preserve"> 4/26/19</w:t>
      </w:r>
      <w:r w:rsidRPr="3F34A281" w:rsidR="0073240C">
        <w:rPr>
          <w:rFonts w:cs="Calibri" w:cstheme="minorAscii"/>
        </w:rPr>
        <w:t>; Revised</w:t>
      </w:r>
      <w:r w:rsidRPr="3F34A281" w:rsidR="0073240C">
        <w:rPr>
          <w:rFonts w:cs="Calibri" w:cstheme="minorAscii"/>
        </w:rPr>
        <w:t>: 3/25/2022</w:t>
      </w:r>
    </w:p>
    <w:p w:rsidRPr="00FB779D" w:rsidR="00A23516" w:rsidDel="00C102E0" w:rsidP="6D13AA8C" w:rsidRDefault="00A23516" w14:paraId="697A7697" w14:textId="77777777" w14:noSpellErr="1">
      <w:pPr>
        <w:rPr>
          <w:rFonts w:cs="Calibri" w:cstheme="minorAscii"/>
        </w:rPr>
      </w:pPr>
      <w:r w:rsidRPr="6D13AA8C" w:rsidR="00A23516">
        <w:rPr>
          <w:rFonts w:cs="Calibri" w:cstheme="minorAscii"/>
        </w:rPr>
        <w:t xml:space="preserve">IUPUI School of Education Policy Council </w:t>
      </w:r>
    </w:p>
    <w:p w:rsidR="00A23516" w:rsidDel="00C102E0" w:rsidP="6D13AA8C" w:rsidRDefault="00A23516" w14:paraId="1A246F1A" w14:textId="77777777" w14:noSpellErr="1">
      <w:pPr>
        <w:pStyle w:val="ListParagraph"/>
        <w:rPr>
          <w:rFonts w:cs="Calibri" w:cstheme="minorAscii"/>
        </w:rPr>
      </w:pPr>
    </w:p>
    <w:p w:rsidR="00A23516" w:rsidDel="00C102E0" w:rsidP="6D13AA8C" w:rsidRDefault="00A23516" w14:paraId="02C6EFAC" w14:textId="77777777" w14:noSpellErr="1">
      <w:pPr>
        <w:pStyle w:val="ListParagraph"/>
        <w:rPr>
          <w:rFonts w:cs="Calibri" w:cstheme="minorAscii"/>
        </w:rPr>
      </w:pPr>
    </w:p>
    <w:p w:rsidRPr="00C32FFD" w:rsidR="00A23516" w:rsidDel="00C102E0" w:rsidP="6D13AA8C" w:rsidRDefault="00A23516" w14:paraId="24E547F1" w14:textId="77777777" w14:noSpellErr="1">
      <w:pPr>
        <w:pStyle w:val="ListParagraph"/>
        <w:rPr>
          <w:rFonts w:cs="Calibri" w:cstheme="minorAscii"/>
        </w:rPr>
      </w:pPr>
    </w:p>
    <w:p w:rsidRPr="004B7397" w:rsidR="00A23516" w:rsidDel="00C102E0" w:rsidP="6D13AA8C" w:rsidRDefault="00A23516" w14:paraId="0B05B3B6" w14:textId="77777777" w14:noSpellErr="1">
      <w:pPr>
        <w:rPr>
          <w:rFonts w:cs="Calibri" w:cstheme="minorAscii"/>
        </w:rPr>
      </w:pPr>
    </w:p>
    <w:p w:rsidR="00A23516" w:rsidDel="00C102E0" w:rsidP="00A23516" w:rsidRDefault="00A23516" w14:paraId="74CBF859" w14:textId="77777777" w14:noSpellErr="1">
      <w:pPr/>
    </w:p>
    <w:p w:rsidR="006764E7" w:rsidRDefault="0031016C" w14:paraId="5003671E" w14:textId="77777777"/>
    <w:sectPr w:rsidR="006764E7" w:rsidSect="00C13EA0">
      <w:headerReference w:type="default" r:id="rId7"/>
      <w:footerReference w:type="even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016C" w:rsidP="00A23516" w:rsidRDefault="0031016C" w14:paraId="5ABBC501" w14:textId="77777777">
      <w:r>
        <w:separator/>
      </w:r>
    </w:p>
  </w:endnote>
  <w:endnote w:type="continuationSeparator" w:id="0">
    <w:p w:rsidR="0031016C" w:rsidP="00A23516" w:rsidRDefault="0031016C" w14:paraId="3A15F6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2E58" w:rsidP="00A32934" w:rsidRDefault="00A25C3C" w14:paraId="21D835BE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DA2E58" w:rsidRDefault="0031016C" w14:paraId="7E9290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89014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A2E58" w:rsidP="00A32934" w:rsidRDefault="00A25C3C" w14:paraId="443DACBC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12E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A2E58" w:rsidRDefault="0031016C" w14:paraId="0D186E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016C" w:rsidP="00A23516" w:rsidRDefault="0031016C" w14:paraId="33735390" w14:textId="77777777">
      <w:r>
        <w:separator/>
      </w:r>
    </w:p>
  </w:footnote>
  <w:footnote w:type="continuationSeparator" w:id="0">
    <w:p w:rsidR="0031016C" w:rsidP="00A23516" w:rsidRDefault="0031016C" w14:paraId="087CC4B3" w14:textId="77777777">
      <w:r>
        <w:continuationSeparator/>
      </w:r>
    </w:p>
  </w:footnote>
  <w:footnote w:id="1">
    <w:p w:rsidR="00A23516" w:rsidP="00A23516" w:rsidRDefault="00A23516" w14:paraId="548F9A2C" w14:textId="77777777">
      <w:pPr>
        <w:pStyle w:val="FootnoteText"/>
      </w:pPr>
      <w:r>
        <w:rPr>
          <w:rStyle w:val="FootnoteReference"/>
        </w:rPr>
        <w:footnoteRef/>
      </w:r>
      <w:r>
        <w:t xml:space="preserve">Limiting eligibility in this way ensures that faculty with schedule conflicts do not register votes as abstentions which can hurt the candidate. </w:t>
      </w:r>
    </w:p>
  </w:footnote>
  <w:footnote w:id="5477">
    <w:p w:rsidR="6D13AA8C" w:rsidP="6D13AA8C" w:rsidRDefault="6D13AA8C" w14:paraId="2917F48D" w14:textId="40EACEE7">
      <w:pPr>
        <w:pStyle w:val="FootnoteText"/>
        <w:bidi w:val="0"/>
        <w:rPr>
          <w:sz w:val="20"/>
          <w:szCs w:val="20"/>
        </w:rPr>
      </w:pPr>
      <w:r w:rsidRPr="6D13AA8C">
        <w:rPr>
          <w:rStyle w:val="FootnoteReference"/>
          <w:sz w:val="20"/>
          <w:szCs w:val="20"/>
        </w:rPr>
        <w:footnoteRef/>
      </w:r>
      <w:r w:rsidRPr="6D13AA8C" w:rsidR="6D13AA8C">
        <w:rPr>
          <w:sz w:val="20"/>
          <w:szCs w:val="20"/>
        </w:rPr>
        <w:t xml:space="preserve"> This may include expertise relative to interdisciplinary work, joint or affiliate appointments, 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1839" w:rsidP="00443107" w:rsidRDefault="00443107" w14:paraId="130F9282" w14:textId="77777777">
    <w:pPr>
      <w:pStyle w:val="Header"/>
      <w:jc w:val="right"/>
    </w:pPr>
    <w:r>
      <w:t>19.01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65F408D"/>
    <w:multiLevelType w:val="hybridMultilevel"/>
    <w:tmpl w:val="BB6825D6"/>
    <w:lvl w:ilvl="0">
      <w:start w:val="1"/>
      <w:numFmt w:val="decimal"/>
      <w:lvlText w:val="%1)"/>
      <w:lvlJc w:val="left"/>
      <w:pPr>
        <w:ind w:left="1080" w:hanging="360"/>
      </w:pPr>
      <w:rPr/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61A6D"/>
    <w:multiLevelType w:val="hybridMultilevel"/>
    <w:tmpl w:val="9BBAA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16"/>
    <w:rsid w:val="000D1FEB"/>
    <w:rsid w:val="00235F93"/>
    <w:rsid w:val="002635B0"/>
    <w:rsid w:val="0028633B"/>
    <w:rsid w:val="0031016C"/>
    <w:rsid w:val="003B3EE1"/>
    <w:rsid w:val="003C08CA"/>
    <w:rsid w:val="003C7FBA"/>
    <w:rsid w:val="00443107"/>
    <w:rsid w:val="00444F4C"/>
    <w:rsid w:val="004533D2"/>
    <w:rsid w:val="004E12E8"/>
    <w:rsid w:val="00520F5D"/>
    <w:rsid w:val="00565CD6"/>
    <w:rsid w:val="005927EE"/>
    <w:rsid w:val="005A51E1"/>
    <w:rsid w:val="006A77A9"/>
    <w:rsid w:val="006C7CB0"/>
    <w:rsid w:val="006D014E"/>
    <w:rsid w:val="006E79FD"/>
    <w:rsid w:val="006E7CE9"/>
    <w:rsid w:val="006F5CF3"/>
    <w:rsid w:val="0073240C"/>
    <w:rsid w:val="007F19FD"/>
    <w:rsid w:val="008150D1"/>
    <w:rsid w:val="008A629B"/>
    <w:rsid w:val="008B0097"/>
    <w:rsid w:val="008B09A9"/>
    <w:rsid w:val="008D36DD"/>
    <w:rsid w:val="008D467D"/>
    <w:rsid w:val="0099314B"/>
    <w:rsid w:val="00A23516"/>
    <w:rsid w:val="00A25C3C"/>
    <w:rsid w:val="00A35797"/>
    <w:rsid w:val="00A90A61"/>
    <w:rsid w:val="00AA6134"/>
    <w:rsid w:val="00BE627F"/>
    <w:rsid w:val="00C102E0"/>
    <w:rsid w:val="00C43D53"/>
    <w:rsid w:val="00C744FF"/>
    <w:rsid w:val="00CC2610"/>
    <w:rsid w:val="00CD4942"/>
    <w:rsid w:val="00CE0780"/>
    <w:rsid w:val="00D35830"/>
    <w:rsid w:val="00D80164"/>
    <w:rsid w:val="00D846A7"/>
    <w:rsid w:val="00D91AC7"/>
    <w:rsid w:val="00DA45A1"/>
    <w:rsid w:val="00E319DD"/>
    <w:rsid w:val="00EF0316"/>
    <w:rsid w:val="00F90CE1"/>
    <w:rsid w:val="00FC5235"/>
    <w:rsid w:val="01C8C4AC"/>
    <w:rsid w:val="022490B0"/>
    <w:rsid w:val="03C06111"/>
    <w:rsid w:val="0468CCC1"/>
    <w:rsid w:val="0652DE2A"/>
    <w:rsid w:val="070257D1"/>
    <w:rsid w:val="07E5072B"/>
    <w:rsid w:val="0CC21FAE"/>
    <w:rsid w:val="0DFF3A46"/>
    <w:rsid w:val="0ED60B9E"/>
    <w:rsid w:val="0FAB7F68"/>
    <w:rsid w:val="136E05F4"/>
    <w:rsid w:val="17A61C8C"/>
    <w:rsid w:val="18553091"/>
    <w:rsid w:val="18561780"/>
    <w:rsid w:val="1941ECED"/>
    <w:rsid w:val="19D0AAC0"/>
    <w:rsid w:val="19F100F2"/>
    <w:rsid w:val="1B8DB842"/>
    <w:rsid w:val="1C91EFF6"/>
    <w:rsid w:val="1D3736AA"/>
    <w:rsid w:val="1DD89CA8"/>
    <w:rsid w:val="1DFC35B3"/>
    <w:rsid w:val="1E5FEF3D"/>
    <w:rsid w:val="1FC990B8"/>
    <w:rsid w:val="2006AC19"/>
    <w:rsid w:val="20AE230A"/>
    <w:rsid w:val="2292435E"/>
    <w:rsid w:val="242E13BF"/>
    <w:rsid w:val="25BD6EA6"/>
    <w:rsid w:val="264F33DF"/>
    <w:rsid w:val="27EB0440"/>
    <w:rsid w:val="2B579AA2"/>
    <w:rsid w:val="2C7E76A2"/>
    <w:rsid w:val="2CD6B6D1"/>
    <w:rsid w:val="2E761307"/>
    <w:rsid w:val="2ECC9C94"/>
    <w:rsid w:val="2F260DFB"/>
    <w:rsid w:val="2FDCEDC8"/>
    <w:rsid w:val="30EE8C93"/>
    <w:rsid w:val="3346F474"/>
    <w:rsid w:val="3398554A"/>
    <w:rsid w:val="35DC0143"/>
    <w:rsid w:val="3774E7DF"/>
    <w:rsid w:val="3777D1A4"/>
    <w:rsid w:val="390D2C6B"/>
    <w:rsid w:val="3A61315E"/>
    <w:rsid w:val="3BFD01BF"/>
    <w:rsid w:val="3C31991D"/>
    <w:rsid w:val="3C3A1D20"/>
    <w:rsid w:val="3CE19411"/>
    <w:rsid w:val="3D873907"/>
    <w:rsid w:val="3F34A281"/>
    <w:rsid w:val="3F6939DF"/>
    <w:rsid w:val="411B209F"/>
    <w:rsid w:val="42697C89"/>
    <w:rsid w:val="42A0DAA1"/>
    <w:rsid w:val="4639B64A"/>
    <w:rsid w:val="4694EBD1"/>
    <w:rsid w:val="46EE075C"/>
    <w:rsid w:val="4830BC32"/>
    <w:rsid w:val="490589B9"/>
    <w:rsid w:val="491809AB"/>
    <w:rsid w:val="495C84CD"/>
    <w:rsid w:val="4ABC5E0F"/>
    <w:rsid w:val="4AFDB2FE"/>
    <w:rsid w:val="4B9FAF79"/>
    <w:rsid w:val="4C45546F"/>
    <w:rsid w:val="4C582E70"/>
    <w:rsid w:val="4DDE951A"/>
    <w:rsid w:val="4E5C2A24"/>
    <w:rsid w:val="4F874B2F"/>
    <w:rsid w:val="4F8FCF32"/>
    <w:rsid w:val="544A17F8"/>
    <w:rsid w:val="57449D59"/>
    <w:rsid w:val="577934B7"/>
    <w:rsid w:val="57A5D856"/>
    <w:rsid w:val="5BB36ACB"/>
    <w:rsid w:val="5D387B47"/>
    <w:rsid w:val="61DF4292"/>
    <w:rsid w:val="624318AC"/>
    <w:rsid w:val="646BE7EE"/>
    <w:rsid w:val="65F11FA8"/>
    <w:rsid w:val="6BD0D295"/>
    <w:rsid w:val="6D13AA8C"/>
    <w:rsid w:val="71543EAC"/>
    <w:rsid w:val="722A7F07"/>
    <w:rsid w:val="74736097"/>
    <w:rsid w:val="75A5667B"/>
    <w:rsid w:val="7AADAC7B"/>
    <w:rsid w:val="7C1D48A8"/>
    <w:rsid w:val="7D0E7BE5"/>
    <w:rsid w:val="7F0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45F8"/>
  <w15:chartTrackingRefBased/>
  <w15:docId w15:val="{8185CF65-B148-4633-80E2-133D1BB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516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5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351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235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5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51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35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5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351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516"/>
  </w:style>
  <w:style w:type="paragraph" w:styleId="BalloonText">
    <w:name w:val="Balloon Text"/>
    <w:basedOn w:val="Normal"/>
    <w:link w:val="BalloonTextChar"/>
    <w:uiPriority w:val="99"/>
    <w:semiHidden/>
    <w:unhideWhenUsed/>
    <w:rsid w:val="00D3583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8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7e7b7bf2a8f2481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5213-2f55-443d-a4ff-c76bc228fbdc}"/>
      </w:docPartPr>
      <w:docPartBody>
        <w:p w14:paraId="6925E2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1E86D5A02B8409C81C3E35E64F79D" ma:contentTypeVersion="6" ma:contentTypeDescription="Create a new document." ma:contentTypeScope="" ma:versionID="32461d5c2bfed99f4c0e88f2cd4e6c00">
  <xsd:schema xmlns:xsd="http://www.w3.org/2001/XMLSchema" xmlns:xs="http://www.w3.org/2001/XMLSchema" xmlns:p="http://schemas.microsoft.com/office/2006/metadata/properties" xmlns:ns2="4339c7c2-7289-43b3-9a8b-f28759742fd0" xmlns:ns3="dacd1331-e59c-42cc-a68b-18cb7ef7fea7" targetNamespace="http://schemas.microsoft.com/office/2006/metadata/properties" ma:root="true" ma:fieldsID="80d401da119c5a6348d0152256cd6179" ns2:_="" ns3:_="">
    <xsd:import namespace="4339c7c2-7289-43b3-9a8b-f28759742fd0"/>
    <xsd:import namespace="dacd1331-e59c-42cc-a68b-18cb7ef7f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9c7c2-7289-43b3-9a8b-f28759742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1331-e59c-42cc-a68b-18cb7ef7f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ADA12-CD03-49F4-859F-AF2AC98A5531}"/>
</file>

<file path=customXml/itemProps2.xml><?xml version="1.0" encoding="utf-8"?>
<ds:datastoreItem xmlns:ds="http://schemas.openxmlformats.org/officeDocument/2006/customXml" ds:itemID="{EB12B665-2E54-4DCA-9B99-24883B683063}"/>
</file>

<file path=customXml/itemProps3.xml><?xml version="1.0" encoding="utf-8"?>
<ds:datastoreItem xmlns:ds="http://schemas.openxmlformats.org/officeDocument/2006/customXml" ds:itemID="{38F9E8B1-1093-4C68-9534-E9F65AF63F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Indiana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soeguest</dc:creator>
  <keywords/>
  <dc:description/>
  <lastModifiedBy>Maxcy, Brendan</lastModifiedBy>
  <revision>47</revision>
  <dcterms:created xsi:type="dcterms:W3CDTF">2021-01-15T19:18:00.0000000Z</dcterms:created>
  <dcterms:modified xsi:type="dcterms:W3CDTF">2022-05-11T13:34:49.1056307Z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0x01010046E1E86D5A02B8409C81C3E35E64F79D</vt:lpwstr>
  </property>
</Properties>
</file>